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D484" w14:textId="77777777" w:rsidR="00AC3C98" w:rsidRDefault="00AC3C98" w:rsidP="00A60305">
      <w:pPr>
        <w:pStyle w:val="NoSpacing"/>
        <w:jc w:val="center"/>
        <w:rPr>
          <w:sz w:val="24"/>
        </w:rPr>
      </w:pPr>
    </w:p>
    <w:p w14:paraId="3E65AE69" w14:textId="77777777" w:rsidR="00A60305" w:rsidRDefault="00A60305" w:rsidP="00A60305">
      <w:pPr>
        <w:pStyle w:val="NoSpacing"/>
        <w:jc w:val="center"/>
        <w:rPr>
          <w:sz w:val="24"/>
        </w:rPr>
      </w:pPr>
    </w:p>
    <w:p w14:paraId="5DE0BF8B" w14:textId="77777777" w:rsidR="00A60305" w:rsidRDefault="00A60305" w:rsidP="00A60305">
      <w:pPr>
        <w:pStyle w:val="NoSpacing"/>
        <w:jc w:val="center"/>
        <w:rPr>
          <w:sz w:val="24"/>
        </w:rPr>
      </w:pPr>
      <w:r>
        <w:rPr>
          <w:sz w:val="24"/>
        </w:rPr>
        <w:t>ATKINSONS, SOLICITORS</w:t>
      </w:r>
    </w:p>
    <w:p w14:paraId="122129B1" w14:textId="77777777" w:rsidR="00A60305" w:rsidRDefault="00797B52" w:rsidP="00A60305">
      <w:pPr>
        <w:pStyle w:val="NoSpacing"/>
        <w:jc w:val="center"/>
        <w:rPr>
          <w:sz w:val="24"/>
        </w:rPr>
      </w:pPr>
      <w:r>
        <w:rPr>
          <w:sz w:val="24"/>
        </w:rPr>
        <w:t xml:space="preserve">GUIDE TO </w:t>
      </w:r>
      <w:r w:rsidR="00CF10E9">
        <w:rPr>
          <w:sz w:val="24"/>
        </w:rPr>
        <w:t xml:space="preserve">PROBATE FEES </w:t>
      </w:r>
      <w:r w:rsidR="00A60305">
        <w:rPr>
          <w:sz w:val="24"/>
        </w:rPr>
        <w:t xml:space="preserve"> </w:t>
      </w:r>
    </w:p>
    <w:p w14:paraId="1D4917E3" w14:textId="77777777" w:rsidR="00A60305" w:rsidRDefault="00A60305" w:rsidP="00A60305">
      <w:pPr>
        <w:pStyle w:val="NoSpacing"/>
        <w:jc w:val="center"/>
        <w:rPr>
          <w:sz w:val="24"/>
        </w:rPr>
      </w:pPr>
    </w:p>
    <w:p w14:paraId="182615DE" w14:textId="77777777" w:rsidR="00A60305" w:rsidRDefault="00A60305" w:rsidP="00A60305">
      <w:pPr>
        <w:pStyle w:val="NoSpacing"/>
        <w:jc w:val="both"/>
        <w:rPr>
          <w:sz w:val="24"/>
        </w:rPr>
      </w:pPr>
    </w:p>
    <w:p w14:paraId="0821942F" w14:textId="77777777" w:rsidR="00797B52" w:rsidRDefault="00797B52" w:rsidP="00A60305">
      <w:pPr>
        <w:pStyle w:val="NoSpacing"/>
        <w:jc w:val="both"/>
        <w:rPr>
          <w:sz w:val="24"/>
        </w:rPr>
      </w:pPr>
      <w:r>
        <w:rPr>
          <w:sz w:val="24"/>
        </w:rPr>
        <w:t>David Alan Trott is the fee earner who deals wit</w:t>
      </w:r>
      <w:r w:rsidR="00CF10E9">
        <w:rPr>
          <w:sz w:val="24"/>
        </w:rPr>
        <w:t xml:space="preserve">h estate administration matters (see Meet the team). </w:t>
      </w:r>
    </w:p>
    <w:p w14:paraId="0B3E7AD6" w14:textId="77777777" w:rsidR="00797B52" w:rsidRDefault="00797B52" w:rsidP="00A60305">
      <w:pPr>
        <w:pStyle w:val="NoSpacing"/>
        <w:jc w:val="both"/>
        <w:rPr>
          <w:sz w:val="24"/>
        </w:rPr>
      </w:pPr>
    </w:p>
    <w:p w14:paraId="76FB1A36" w14:textId="77777777" w:rsidR="00A60305" w:rsidRDefault="00CF10E9" w:rsidP="00A60305">
      <w:pPr>
        <w:pStyle w:val="NoSpacing"/>
        <w:jc w:val="both"/>
        <w:rPr>
          <w:sz w:val="24"/>
        </w:rPr>
      </w:pPr>
      <w:r>
        <w:rPr>
          <w:sz w:val="24"/>
        </w:rPr>
        <w:t>Fees are charged on a time</w:t>
      </w:r>
      <w:r w:rsidR="00A60305">
        <w:rPr>
          <w:sz w:val="24"/>
        </w:rPr>
        <w:t xml:space="preserve"> basis at the rate of £225.00</w:t>
      </w:r>
      <w:r>
        <w:rPr>
          <w:sz w:val="24"/>
        </w:rPr>
        <w:t xml:space="preserve"> </w:t>
      </w:r>
      <w:r w:rsidR="00797B52">
        <w:rPr>
          <w:sz w:val="24"/>
        </w:rPr>
        <w:t xml:space="preserve"> per hour</w:t>
      </w:r>
      <w:r>
        <w:rPr>
          <w:sz w:val="24"/>
        </w:rPr>
        <w:t xml:space="preserve"> attendance (including travel and waiting times)</w:t>
      </w:r>
      <w:r w:rsidR="00797B52">
        <w:rPr>
          <w:sz w:val="24"/>
        </w:rPr>
        <w:t xml:space="preserve">, £22.50 per page of letters sent,  </w:t>
      </w:r>
      <w:r>
        <w:rPr>
          <w:sz w:val="24"/>
        </w:rPr>
        <w:t xml:space="preserve">6 minutes of telephone calls; </w:t>
      </w:r>
      <w:r w:rsidR="00797B52">
        <w:rPr>
          <w:sz w:val="24"/>
        </w:rPr>
        <w:t xml:space="preserve"> £11.</w:t>
      </w:r>
      <w:r>
        <w:rPr>
          <w:sz w:val="24"/>
        </w:rPr>
        <w:t>15 per page of letters received.</w:t>
      </w:r>
    </w:p>
    <w:p w14:paraId="1A298BD8" w14:textId="77777777" w:rsidR="00CF10E9" w:rsidRDefault="00CF10E9" w:rsidP="00A60305">
      <w:pPr>
        <w:pStyle w:val="NoSpacing"/>
        <w:jc w:val="both"/>
        <w:rPr>
          <w:sz w:val="24"/>
        </w:rPr>
      </w:pPr>
    </w:p>
    <w:p w14:paraId="46E6AB9E" w14:textId="77777777" w:rsidR="00797B52" w:rsidRDefault="00797B52" w:rsidP="00A60305">
      <w:pPr>
        <w:pStyle w:val="NoSpacing"/>
        <w:jc w:val="both"/>
        <w:rPr>
          <w:sz w:val="24"/>
        </w:rPr>
      </w:pPr>
    </w:p>
    <w:p w14:paraId="1A52B78C" w14:textId="77777777" w:rsidR="00A60305" w:rsidRDefault="00797B52" w:rsidP="00A60305">
      <w:pPr>
        <w:pStyle w:val="NoSpacing"/>
        <w:jc w:val="both"/>
        <w:rPr>
          <w:sz w:val="24"/>
        </w:rPr>
      </w:pPr>
      <w:r>
        <w:rPr>
          <w:sz w:val="24"/>
        </w:rPr>
        <w:t xml:space="preserve">We estimate </w:t>
      </w:r>
      <w:r w:rsidR="00A60305">
        <w:rPr>
          <w:sz w:val="24"/>
        </w:rPr>
        <w:t xml:space="preserve"> fees to</w:t>
      </w:r>
      <w:r>
        <w:rPr>
          <w:sz w:val="24"/>
        </w:rPr>
        <w:t xml:space="preserve"> in the following range </w:t>
      </w:r>
      <w:r w:rsidR="00A60305">
        <w:rPr>
          <w:sz w:val="24"/>
        </w:rPr>
        <w:t>:-</w:t>
      </w:r>
      <w:r w:rsidR="00CF10E9">
        <w:rPr>
          <w:sz w:val="24"/>
        </w:rPr>
        <w:tab/>
      </w:r>
      <w:r w:rsidR="00CF10E9">
        <w:rPr>
          <w:sz w:val="24"/>
        </w:rPr>
        <w:tab/>
      </w:r>
      <w:r w:rsidR="00CF10E9">
        <w:rPr>
          <w:sz w:val="24"/>
        </w:rPr>
        <w:tab/>
      </w:r>
      <w:r w:rsidR="00CF10E9">
        <w:rPr>
          <w:sz w:val="24"/>
        </w:rPr>
        <w:tab/>
      </w:r>
      <w:r w:rsidR="00CF10E9">
        <w:rPr>
          <w:sz w:val="24"/>
        </w:rPr>
        <w:tab/>
      </w:r>
      <w:r w:rsidR="00CF10E9">
        <w:rPr>
          <w:sz w:val="24"/>
        </w:rPr>
        <w:tab/>
      </w:r>
      <w:r w:rsidR="00CF10E9">
        <w:rPr>
          <w:sz w:val="24"/>
        </w:rPr>
        <w:tab/>
      </w:r>
      <w:r w:rsidR="00CF10E9">
        <w:rPr>
          <w:sz w:val="24"/>
        </w:rPr>
        <w:tab/>
      </w:r>
      <w:r w:rsidR="00CF10E9">
        <w:rPr>
          <w:sz w:val="24"/>
        </w:rPr>
        <w:tab/>
        <w:t>We estimate time scale:-</w:t>
      </w:r>
    </w:p>
    <w:p w14:paraId="725845F4" w14:textId="77777777" w:rsidR="008349EB" w:rsidRDefault="008349EB" w:rsidP="00A60305">
      <w:pPr>
        <w:pStyle w:val="NoSpacing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Initial meeting with client, ascertaining whereabouts of any</w:t>
      </w:r>
    </w:p>
    <w:p w14:paraId="3F80A883" w14:textId="77777777" w:rsidR="008349EB" w:rsidRDefault="008349EB" w:rsidP="008349EB">
      <w:pPr>
        <w:pStyle w:val="NoSpacing"/>
        <w:ind w:left="720"/>
        <w:jc w:val="both"/>
        <w:rPr>
          <w:sz w:val="24"/>
        </w:rPr>
      </w:pPr>
      <w:r>
        <w:rPr>
          <w:sz w:val="24"/>
        </w:rPr>
        <w:t xml:space="preserve">Will, obtaining details of all creditors and debtors, </w:t>
      </w:r>
      <w:r w:rsidR="00A60305">
        <w:rPr>
          <w:sz w:val="24"/>
        </w:rPr>
        <w:t xml:space="preserve">and </w:t>
      </w:r>
    </w:p>
    <w:p w14:paraId="45CD81A1" w14:textId="77777777" w:rsidR="00D82272" w:rsidRDefault="00D82272" w:rsidP="008349EB">
      <w:pPr>
        <w:pStyle w:val="NoSpacing"/>
        <w:ind w:left="720"/>
        <w:jc w:val="both"/>
        <w:rPr>
          <w:sz w:val="24"/>
        </w:rPr>
      </w:pPr>
      <w:r>
        <w:rPr>
          <w:sz w:val="24"/>
        </w:rPr>
        <w:t>contacting all creditors/debtors; discussion of potential claims</w:t>
      </w:r>
    </w:p>
    <w:p w14:paraId="77F2E7BC" w14:textId="77777777" w:rsidR="00D82272" w:rsidRDefault="00D82272" w:rsidP="008349EB">
      <w:pPr>
        <w:pStyle w:val="NoSpacing"/>
        <w:ind w:left="720"/>
        <w:jc w:val="both"/>
        <w:rPr>
          <w:sz w:val="24"/>
        </w:rPr>
      </w:pPr>
      <w:r>
        <w:rPr>
          <w:sz w:val="24"/>
        </w:rPr>
        <w:t xml:space="preserve">and need for advertising estate and retention of estate for </w:t>
      </w:r>
    </w:p>
    <w:p w14:paraId="3CB106DE" w14:textId="77777777" w:rsidR="00A60305" w:rsidRDefault="00D82272" w:rsidP="008349EB">
      <w:pPr>
        <w:pStyle w:val="NoSpacing"/>
        <w:ind w:left="720"/>
        <w:jc w:val="both"/>
        <w:rPr>
          <w:sz w:val="24"/>
        </w:rPr>
      </w:pPr>
      <w:r>
        <w:rPr>
          <w:sz w:val="24"/>
        </w:rPr>
        <w:t>6 months post Grant of Representation  to establish any claims</w:t>
      </w:r>
      <w:r>
        <w:rPr>
          <w:sz w:val="24"/>
        </w:rPr>
        <w:tab/>
      </w:r>
      <w:r w:rsidR="00A60305">
        <w:rPr>
          <w:sz w:val="24"/>
        </w:rPr>
        <w:t>£</w:t>
      </w:r>
      <w:r w:rsidR="00CF10E9">
        <w:rPr>
          <w:sz w:val="24"/>
        </w:rPr>
        <w:t>450</w:t>
      </w:r>
      <w:r w:rsidR="00797B52">
        <w:rPr>
          <w:sz w:val="24"/>
        </w:rPr>
        <w:tab/>
        <w:t>to</w:t>
      </w:r>
      <w:r w:rsidR="00797B52">
        <w:rPr>
          <w:sz w:val="24"/>
        </w:rPr>
        <w:tab/>
        <w:t>£</w:t>
      </w:r>
      <w:r w:rsidR="00CF10E9">
        <w:rPr>
          <w:sz w:val="24"/>
        </w:rPr>
        <w:t>900</w:t>
      </w:r>
      <w:r w:rsidR="00CF10E9">
        <w:rPr>
          <w:sz w:val="24"/>
        </w:rPr>
        <w:tab/>
      </w:r>
      <w:r w:rsidR="00CF10E9">
        <w:rPr>
          <w:sz w:val="24"/>
        </w:rPr>
        <w:tab/>
      </w:r>
      <w:r w:rsidR="00CF10E9">
        <w:rPr>
          <w:sz w:val="24"/>
        </w:rPr>
        <w:tab/>
        <w:t>4 – 8 weeks</w:t>
      </w:r>
    </w:p>
    <w:p w14:paraId="6E6137F4" w14:textId="77777777" w:rsidR="00A60305" w:rsidRDefault="00A60305" w:rsidP="00A60305">
      <w:pPr>
        <w:pStyle w:val="NoSpacing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Receiving information from creditors/debtors and preparing</w:t>
      </w:r>
    </w:p>
    <w:p w14:paraId="22AC8C85" w14:textId="77777777" w:rsidR="00CF10E9" w:rsidRDefault="00A60305" w:rsidP="00A60305">
      <w:pPr>
        <w:pStyle w:val="NoSpacing"/>
        <w:ind w:left="720"/>
        <w:jc w:val="both"/>
        <w:rPr>
          <w:sz w:val="24"/>
        </w:rPr>
      </w:pPr>
      <w:r>
        <w:rPr>
          <w:sz w:val="24"/>
        </w:rPr>
        <w:t>Inher</w:t>
      </w:r>
      <w:r w:rsidR="00797B52">
        <w:rPr>
          <w:sz w:val="24"/>
        </w:rPr>
        <w:t xml:space="preserve">itance tax </w:t>
      </w:r>
      <w:r w:rsidR="00CF10E9">
        <w:rPr>
          <w:sz w:val="24"/>
        </w:rPr>
        <w:t xml:space="preserve">returns </w:t>
      </w:r>
      <w:r w:rsidR="00797B52">
        <w:rPr>
          <w:sz w:val="24"/>
        </w:rPr>
        <w:t>and application for Grant (</w:t>
      </w:r>
      <w:r w:rsidR="000E1E3C">
        <w:rPr>
          <w:sz w:val="24"/>
        </w:rPr>
        <w:t xml:space="preserve">Probate/Letters </w:t>
      </w:r>
    </w:p>
    <w:p w14:paraId="50978DFA" w14:textId="77777777" w:rsidR="00CF10E9" w:rsidRDefault="000E1E3C" w:rsidP="00CF10E9">
      <w:pPr>
        <w:pStyle w:val="NoSpacing"/>
        <w:ind w:left="720"/>
        <w:jc w:val="both"/>
        <w:rPr>
          <w:sz w:val="24"/>
        </w:rPr>
      </w:pPr>
      <w:r>
        <w:rPr>
          <w:sz w:val="24"/>
        </w:rPr>
        <w:t xml:space="preserve">of </w:t>
      </w:r>
      <w:r w:rsidR="00CF10E9">
        <w:rPr>
          <w:sz w:val="24"/>
        </w:rPr>
        <w:t xml:space="preserve"> </w:t>
      </w:r>
      <w:r>
        <w:rPr>
          <w:sz w:val="24"/>
        </w:rPr>
        <w:t xml:space="preserve">Administration) </w:t>
      </w:r>
      <w:r w:rsidR="00CF10E9">
        <w:rPr>
          <w:sz w:val="24"/>
        </w:rPr>
        <w:t xml:space="preserve">document, attending on Personal </w:t>
      </w:r>
    </w:p>
    <w:p w14:paraId="612E8A7B" w14:textId="77777777" w:rsidR="00CF10E9" w:rsidRDefault="00CF10E9" w:rsidP="00CF10E9">
      <w:pPr>
        <w:pStyle w:val="NoSpacing"/>
        <w:ind w:left="720"/>
        <w:jc w:val="both"/>
        <w:rPr>
          <w:sz w:val="24"/>
        </w:rPr>
      </w:pPr>
      <w:r>
        <w:rPr>
          <w:sz w:val="24"/>
        </w:rPr>
        <w:t xml:space="preserve">Representatives </w:t>
      </w:r>
      <w:r w:rsidR="008349EB">
        <w:rPr>
          <w:sz w:val="24"/>
        </w:rPr>
        <w:t xml:space="preserve"> to</w:t>
      </w:r>
      <w:r>
        <w:rPr>
          <w:sz w:val="24"/>
        </w:rPr>
        <w:t xml:space="preserve"> </w:t>
      </w:r>
      <w:r w:rsidR="008349EB">
        <w:rPr>
          <w:sz w:val="24"/>
        </w:rPr>
        <w:t xml:space="preserve">discuss and execute documentation </w:t>
      </w:r>
      <w:r w:rsidR="00866BFD">
        <w:rPr>
          <w:sz w:val="24"/>
        </w:rPr>
        <w:t xml:space="preserve"> and </w:t>
      </w:r>
    </w:p>
    <w:p w14:paraId="518388A5" w14:textId="77777777" w:rsidR="000625BF" w:rsidRDefault="00866BFD" w:rsidP="00CF10E9">
      <w:pPr>
        <w:pStyle w:val="NoSpacing"/>
        <w:ind w:left="720"/>
        <w:jc w:val="both"/>
        <w:rPr>
          <w:sz w:val="24"/>
        </w:rPr>
      </w:pPr>
      <w:r>
        <w:rPr>
          <w:sz w:val="24"/>
        </w:rPr>
        <w:t>submitting application</w:t>
      </w:r>
      <w:r w:rsidR="00CF10E9">
        <w:rPr>
          <w:sz w:val="24"/>
        </w:rPr>
        <w:t xml:space="preserve"> </w:t>
      </w:r>
      <w:r w:rsidR="000E1E3C">
        <w:rPr>
          <w:sz w:val="24"/>
        </w:rPr>
        <w:t>for Grant of R</w:t>
      </w:r>
      <w:r w:rsidR="00797B52">
        <w:rPr>
          <w:sz w:val="24"/>
        </w:rPr>
        <w:t>epresentation</w:t>
      </w:r>
    </w:p>
    <w:p w14:paraId="3E1DF45D" w14:textId="77777777" w:rsidR="00A60305" w:rsidRDefault="000625BF" w:rsidP="00CF10E9">
      <w:pPr>
        <w:pStyle w:val="NoSpacing"/>
        <w:ind w:left="720"/>
        <w:jc w:val="both"/>
        <w:rPr>
          <w:sz w:val="24"/>
        </w:rPr>
      </w:pPr>
      <w:r>
        <w:rPr>
          <w:sz w:val="24"/>
        </w:rPr>
        <w:t xml:space="preserve">Including IHT205 will be lower range including IHT 400 </w:t>
      </w:r>
      <w:r>
        <w:rPr>
          <w:sz w:val="24"/>
        </w:rPr>
        <w:tab/>
      </w:r>
      <w:r>
        <w:rPr>
          <w:sz w:val="24"/>
        </w:rPr>
        <w:tab/>
      </w:r>
    </w:p>
    <w:p w14:paraId="1E346622" w14:textId="77777777" w:rsidR="000625BF" w:rsidRDefault="000625BF" w:rsidP="00CF10E9">
      <w:pPr>
        <w:pStyle w:val="NoSpacing"/>
        <w:ind w:left="720"/>
        <w:jc w:val="both"/>
        <w:rPr>
          <w:sz w:val="24"/>
        </w:rPr>
      </w:pPr>
      <w:r>
        <w:rPr>
          <w:sz w:val="24"/>
        </w:rPr>
        <w:t>and supporting documents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£225    to</w:t>
      </w:r>
      <w:r>
        <w:rPr>
          <w:sz w:val="24"/>
        </w:rPr>
        <w:tab/>
        <w:t>£1125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A3506">
        <w:rPr>
          <w:sz w:val="24"/>
        </w:rPr>
        <w:t>2 – 4 weeks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B3EF1BA" w14:textId="77777777" w:rsidR="000E1E3C" w:rsidRDefault="000E1E3C" w:rsidP="00866BFD">
      <w:pPr>
        <w:pStyle w:val="NoSpacing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 receiving Grant  of Representation</w:t>
      </w:r>
      <w:r w:rsidR="00866BFD">
        <w:rPr>
          <w:sz w:val="24"/>
        </w:rPr>
        <w:t xml:space="preserve"> document</w:t>
      </w:r>
      <w:r w:rsidR="00A60305">
        <w:rPr>
          <w:sz w:val="24"/>
        </w:rPr>
        <w:t xml:space="preserve"> and drafting</w:t>
      </w:r>
    </w:p>
    <w:p w14:paraId="18CC626F" w14:textId="77777777" w:rsidR="000625BF" w:rsidRDefault="000A3506" w:rsidP="000625BF">
      <w:pPr>
        <w:pStyle w:val="NoSpacing"/>
        <w:ind w:left="720"/>
        <w:jc w:val="both"/>
        <w:rPr>
          <w:sz w:val="24"/>
        </w:rPr>
      </w:pPr>
      <w:r>
        <w:rPr>
          <w:sz w:val="24"/>
        </w:rPr>
        <w:t>c</w:t>
      </w:r>
      <w:r w:rsidR="000625BF">
        <w:rPr>
          <w:sz w:val="24"/>
        </w:rPr>
        <w:t xml:space="preserve">laim </w:t>
      </w:r>
      <w:r w:rsidR="00A60305">
        <w:rPr>
          <w:sz w:val="24"/>
        </w:rPr>
        <w:t>forms</w:t>
      </w:r>
      <w:r w:rsidR="000625BF">
        <w:rPr>
          <w:sz w:val="24"/>
        </w:rPr>
        <w:t xml:space="preserve">; </w:t>
      </w:r>
      <w:r w:rsidR="000E1E3C">
        <w:rPr>
          <w:sz w:val="24"/>
        </w:rPr>
        <w:t xml:space="preserve">to </w:t>
      </w:r>
      <w:r w:rsidR="000625BF">
        <w:rPr>
          <w:sz w:val="24"/>
        </w:rPr>
        <w:t>attending Personal Representatives in execution</w:t>
      </w:r>
    </w:p>
    <w:p w14:paraId="73E90B72" w14:textId="77777777" w:rsidR="00A60305" w:rsidRDefault="000625BF" w:rsidP="000625BF">
      <w:pPr>
        <w:pStyle w:val="NoSpacing"/>
        <w:ind w:left="720"/>
        <w:jc w:val="both"/>
        <w:rPr>
          <w:sz w:val="24"/>
        </w:rPr>
      </w:pPr>
      <w:r>
        <w:rPr>
          <w:sz w:val="24"/>
        </w:rPr>
        <w:t xml:space="preserve">of same and </w:t>
      </w:r>
      <w:r w:rsidR="000E1E3C">
        <w:rPr>
          <w:sz w:val="24"/>
        </w:rPr>
        <w:t xml:space="preserve">corresponding with creditors </w:t>
      </w:r>
      <w:r w:rsidR="008349EB" w:rsidRPr="00866BFD">
        <w:rPr>
          <w:sz w:val="24"/>
        </w:rPr>
        <w:t>re</w:t>
      </w:r>
      <w:r w:rsidR="00866BFD">
        <w:rPr>
          <w:sz w:val="24"/>
        </w:rPr>
        <w:t xml:space="preserve"> </w:t>
      </w:r>
      <w:r w:rsidR="00A60305">
        <w:rPr>
          <w:sz w:val="24"/>
        </w:rPr>
        <w:t>collection</w:t>
      </w:r>
      <w:r w:rsidR="00866BFD">
        <w:rPr>
          <w:sz w:val="24"/>
        </w:rPr>
        <w:t xml:space="preserve"> of assets</w:t>
      </w:r>
      <w:r w:rsidR="00866BFD">
        <w:rPr>
          <w:sz w:val="24"/>
        </w:rPr>
        <w:tab/>
      </w:r>
      <w:r w:rsidR="00A60305">
        <w:rPr>
          <w:sz w:val="24"/>
        </w:rPr>
        <w:t>£</w:t>
      </w:r>
      <w:r w:rsidR="000A3506">
        <w:rPr>
          <w:sz w:val="24"/>
        </w:rPr>
        <w:t>225</w:t>
      </w:r>
      <w:r w:rsidR="00797B52">
        <w:rPr>
          <w:sz w:val="24"/>
        </w:rPr>
        <w:tab/>
        <w:t>to</w:t>
      </w:r>
      <w:r w:rsidR="00797B52">
        <w:rPr>
          <w:sz w:val="24"/>
        </w:rPr>
        <w:tab/>
        <w:t>£</w:t>
      </w:r>
      <w:r w:rsidR="000A3506">
        <w:rPr>
          <w:sz w:val="24"/>
        </w:rPr>
        <w:t>1125</w:t>
      </w:r>
      <w:r w:rsidR="000A3506">
        <w:rPr>
          <w:sz w:val="24"/>
        </w:rPr>
        <w:tab/>
      </w:r>
      <w:r w:rsidR="000A3506">
        <w:rPr>
          <w:sz w:val="24"/>
        </w:rPr>
        <w:tab/>
      </w:r>
      <w:r w:rsidR="000A3506">
        <w:rPr>
          <w:sz w:val="24"/>
        </w:rPr>
        <w:tab/>
        <w:t>2 – 8 weeks</w:t>
      </w:r>
    </w:p>
    <w:p w14:paraId="4E690D6C" w14:textId="77777777" w:rsidR="00A60305" w:rsidRDefault="00A60305" w:rsidP="00A60305">
      <w:pPr>
        <w:pStyle w:val="NoSpacing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 receiving assets of the estate and arranging discharge of</w:t>
      </w:r>
    </w:p>
    <w:p w14:paraId="2F34CF90" w14:textId="77777777" w:rsidR="00A60305" w:rsidRDefault="00A60305" w:rsidP="00A60305">
      <w:pPr>
        <w:pStyle w:val="NoSpacing"/>
        <w:ind w:left="720"/>
        <w:jc w:val="both"/>
        <w:rPr>
          <w:sz w:val="24"/>
        </w:rPr>
      </w:pPr>
      <w:r>
        <w:rPr>
          <w:sz w:val="24"/>
        </w:rPr>
        <w:t>labilities due from the estate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£</w:t>
      </w:r>
      <w:r w:rsidR="000A3506">
        <w:rPr>
          <w:sz w:val="24"/>
        </w:rPr>
        <w:t>225</w:t>
      </w:r>
      <w:r w:rsidR="00797B52">
        <w:rPr>
          <w:sz w:val="24"/>
        </w:rPr>
        <w:tab/>
        <w:t>to</w:t>
      </w:r>
      <w:r w:rsidR="00797B52">
        <w:rPr>
          <w:sz w:val="24"/>
        </w:rPr>
        <w:tab/>
        <w:t>£</w:t>
      </w:r>
      <w:r w:rsidR="000A3506">
        <w:rPr>
          <w:sz w:val="24"/>
        </w:rPr>
        <w:t>450</w:t>
      </w:r>
      <w:r w:rsidR="000A3506">
        <w:rPr>
          <w:sz w:val="24"/>
        </w:rPr>
        <w:tab/>
      </w:r>
      <w:r w:rsidR="000A3506">
        <w:rPr>
          <w:sz w:val="24"/>
        </w:rPr>
        <w:tab/>
      </w:r>
      <w:r w:rsidR="000A3506">
        <w:rPr>
          <w:sz w:val="24"/>
        </w:rPr>
        <w:tab/>
        <w:t>4 – 8 weeks</w:t>
      </w:r>
    </w:p>
    <w:p w14:paraId="180B8D4C" w14:textId="77777777" w:rsidR="00A60305" w:rsidRDefault="00A60305" w:rsidP="00A60305">
      <w:pPr>
        <w:pStyle w:val="NoSpacing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>To establishing as to whether a formal/informal tax return</w:t>
      </w:r>
    </w:p>
    <w:p w14:paraId="0E38691D" w14:textId="77777777" w:rsidR="00A60305" w:rsidRDefault="00A60305" w:rsidP="00A60305">
      <w:pPr>
        <w:pStyle w:val="NoSpacing"/>
        <w:ind w:left="720"/>
        <w:jc w:val="both"/>
        <w:rPr>
          <w:sz w:val="24"/>
        </w:rPr>
      </w:pPr>
      <w:r>
        <w:rPr>
          <w:sz w:val="24"/>
        </w:rPr>
        <w:t xml:space="preserve">should be made in </w:t>
      </w:r>
      <w:r w:rsidR="008349EB">
        <w:rPr>
          <w:sz w:val="24"/>
        </w:rPr>
        <w:t>respect of period of administration of</w:t>
      </w:r>
    </w:p>
    <w:p w14:paraId="25254279" w14:textId="77777777" w:rsidR="000A3506" w:rsidRDefault="008349EB" w:rsidP="008349EB">
      <w:pPr>
        <w:pStyle w:val="NoSpacing"/>
        <w:ind w:left="720"/>
        <w:jc w:val="both"/>
        <w:rPr>
          <w:sz w:val="24"/>
        </w:rPr>
      </w:pPr>
      <w:r>
        <w:rPr>
          <w:sz w:val="24"/>
        </w:rPr>
        <w:t>estate</w:t>
      </w:r>
      <w:r w:rsidR="000A3506">
        <w:rPr>
          <w:sz w:val="24"/>
        </w:rPr>
        <w:t xml:space="preserve"> and drafting any necessary tax returns or corrective</w:t>
      </w:r>
    </w:p>
    <w:p w14:paraId="2173D3A2" w14:textId="77777777" w:rsidR="002750C0" w:rsidRDefault="000A3506" w:rsidP="008349EB">
      <w:pPr>
        <w:pStyle w:val="NoSpacing"/>
        <w:ind w:left="720"/>
        <w:jc w:val="both"/>
        <w:rPr>
          <w:sz w:val="24"/>
        </w:rPr>
      </w:pPr>
      <w:r>
        <w:rPr>
          <w:sz w:val="24"/>
        </w:rPr>
        <w:t xml:space="preserve">accounts for IHT purposes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349EB">
        <w:rPr>
          <w:sz w:val="24"/>
        </w:rPr>
        <w:t>£</w:t>
      </w:r>
      <w:r>
        <w:rPr>
          <w:sz w:val="24"/>
        </w:rPr>
        <w:t>225</w:t>
      </w:r>
      <w:r w:rsidR="00797B52">
        <w:rPr>
          <w:sz w:val="24"/>
        </w:rPr>
        <w:tab/>
        <w:t>to</w:t>
      </w:r>
      <w:r w:rsidR="00797B52">
        <w:rPr>
          <w:sz w:val="24"/>
        </w:rPr>
        <w:tab/>
        <w:t>£</w:t>
      </w:r>
      <w:r>
        <w:rPr>
          <w:sz w:val="24"/>
        </w:rPr>
        <w:t>1125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 – 4 weeks</w:t>
      </w:r>
    </w:p>
    <w:p w14:paraId="738A9FC0" w14:textId="77777777" w:rsidR="000A3506" w:rsidRPr="000A3506" w:rsidRDefault="000A3506" w:rsidP="000A3506">
      <w:pPr>
        <w:pStyle w:val="NoSpacing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Receiving tax computations and discharging liability, if any</w:t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 –</w:t>
      </w:r>
      <w:r w:rsidR="009659B8">
        <w:rPr>
          <w:sz w:val="24"/>
        </w:rPr>
        <w:t xml:space="preserve"> 12</w:t>
      </w:r>
      <w:r>
        <w:rPr>
          <w:sz w:val="24"/>
        </w:rPr>
        <w:t xml:space="preserve"> weeks</w:t>
      </w:r>
    </w:p>
    <w:p w14:paraId="281F87E8" w14:textId="77777777" w:rsidR="00D82272" w:rsidRDefault="008349EB" w:rsidP="00A60305">
      <w:pPr>
        <w:pStyle w:val="NoSpacing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To drafting Estate Account and distributing net estate </w:t>
      </w:r>
      <w:r w:rsidR="00D82272">
        <w:rPr>
          <w:sz w:val="24"/>
        </w:rPr>
        <w:t>(subject</w:t>
      </w:r>
    </w:p>
    <w:p w14:paraId="5CAD8C32" w14:textId="77777777" w:rsidR="00A60305" w:rsidRDefault="00D82272" w:rsidP="00D82272">
      <w:pPr>
        <w:pStyle w:val="NoSpacing"/>
        <w:ind w:left="720"/>
        <w:jc w:val="both"/>
        <w:rPr>
          <w:sz w:val="24"/>
        </w:rPr>
      </w:pPr>
      <w:r>
        <w:rPr>
          <w:sz w:val="24"/>
        </w:rPr>
        <w:t xml:space="preserve">to any retention in respect of outstanding tax) </w:t>
      </w:r>
      <w:r w:rsidR="008349EB">
        <w:rPr>
          <w:sz w:val="24"/>
        </w:rPr>
        <w:t xml:space="preserve">in </w:t>
      </w:r>
    </w:p>
    <w:p w14:paraId="08E84DDB" w14:textId="77777777" w:rsidR="008349EB" w:rsidRDefault="008349EB" w:rsidP="008349EB">
      <w:pPr>
        <w:pStyle w:val="NoSpacing"/>
        <w:ind w:left="720"/>
        <w:jc w:val="both"/>
        <w:rPr>
          <w:sz w:val="24"/>
        </w:rPr>
      </w:pPr>
      <w:r>
        <w:rPr>
          <w:sz w:val="24"/>
        </w:rPr>
        <w:t>accordance with Will/Rules of Intestacy to legatees/</w:t>
      </w:r>
    </w:p>
    <w:p w14:paraId="52FF8F6B" w14:textId="77777777" w:rsidR="000A3506" w:rsidRDefault="000A3506" w:rsidP="008349EB">
      <w:pPr>
        <w:pStyle w:val="NoSpacing"/>
        <w:ind w:left="720"/>
        <w:jc w:val="both"/>
        <w:rPr>
          <w:sz w:val="24"/>
        </w:rPr>
      </w:pPr>
      <w:r>
        <w:rPr>
          <w:sz w:val="24"/>
        </w:rPr>
        <w:t>residuary beneficiaries (subject to requirement for retention</w:t>
      </w:r>
    </w:p>
    <w:p w14:paraId="312DD2F0" w14:textId="77777777" w:rsidR="008349EB" w:rsidRDefault="000A3506" w:rsidP="000A3506">
      <w:pPr>
        <w:pStyle w:val="NoSpacing"/>
        <w:jc w:val="both"/>
        <w:rPr>
          <w:sz w:val="24"/>
        </w:rPr>
      </w:pPr>
      <w:r>
        <w:rPr>
          <w:sz w:val="24"/>
        </w:rPr>
        <w:tab/>
        <w:t xml:space="preserve">of estate 6 months from Grant of Representation)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349EB">
        <w:rPr>
          <w:sz w:val="24"/>
        </w:rPr>
        <w:t>£</w:t>
      </w:r>
      <w:r>
        <w:rPr>
          <w:sz w:val="24"/>
        </w:rPr>
        <w:t>225</w:t>
      </w:r>
      <w:r w:rsidR="00797B52">
        <w:rPr>
          <w:sz w:val="24"/>
        </w:rPr>
        <w:tab/>
        <w:t xml:space="preserve">to </w:t>
      </w:r>
      <w:r w:rsidR="00797B52">
        <w:rPr>
          <w:sz w:val="24"/>
        </w:rPr>
        <w:tab/>
        <w:t>£</w:t>
      </w:r>
      <w:r>
        <w:rPr>
          <w:sz w:val="24"/>
        </w:rPr>
        <w:t>1125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 – 4 weeks </w:t>
      </w:r>
    </w:p>
    <w:p w14:paraId="46021D93" w14:textId="77777777" w:rsidR="00797B52" w:rsidRDefault="00797B52" w:rsidP="00797B52">
      <w:pPr>
        <w:pStyle w:val="NoSpacing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 finalising tax matters and distribution of any retention</w:t>
      </w:r>
      <w:r>
        <w:rPr>
          <w:sz w:val="24"/>
        </w:rPr>
        <w:tab/>
      </w:r>
      <w:r>
        <w:rPr>
          <w:sz w:val="24"/>
        </w:rPr>
        <w:tab/>
        <w:t>£</w:t>
      </w:r>
      <w:r w:rsidR="000A3506">
        <w:rPr>
          <w:sz w:val="24"/>
        </w:rPr>
        <w:t>225</w:t>
      </w:r>
      <w:r w:rsidR="000A3506">
        <w:rPr>
          <w:sz w:val="24"/>
        </w:rPr>
        <w:tab/>
        <w:t>to</w:t>
      </w:r>
      <w:r w:rsidR="000A3506">
        <w:rPr>
          <w:sz w:val="24"/>
        </w:rPr>
        <w:tab/>
      </w:r>
      <w:r w:rsidR="00D82272">
        <w:rPr>
          <w:sz w:val="24"/>
        </w:rPr>
        <w:t>£225</w:t>
      </w:r>
      <w:r w:rsidR="00D82272">
        <w:rPr>
          <w:sz w:val="24"/>
        </w:rPr>
        <w:tab/>
      </w:r>
      <w:r w:rsidR="00D82272">
        <w:rPr>
          <w:sz w:val="24"/>
        </w:rPr>
        <w:tab/>
      </w:r>
      <w:r w:rsidR="00D82272">
        <w:rPr>
          <w:sz w:val="24"/>
        </w:rPr>
        <w:tab/>
        <w:t xml:space="preserve">1 – 4 weeks </w:t>
      </w:r>
    </w:p>
    <w:p w14:paraId="5A3568D1" w14:textId="77777777" w:rsidR="00A60305" w:rsidRDefault="00A60305" w:rsidP="00866BFD">
      <w:pPr>
        <w:pStyle w:val="NoSpacing"/>
        <w:jc w:val="both"/>
        <w:rPr>
          <w:sz w:val="24"/>
        </w:rPr>
      </w:pPr>
    </w:p>
    <w:p w14:paraId="4E0300A7" w14:textId="77777777" w:rsidR="003C7948" w:rsidRDefault="00D82272" w:rsidP="00866BFD">
      <w:pPr>
        <w:pStyle w:val="NoSpacing"/>
        <w:jc w:val="both"/>
        <w:rPr>
          <w:sz w:val="24"/>
        </w:rPr>
      </w:pPr>
      <w:r>
        <w:rPr>
          <w:sz w:val="24"/>
        </w:rPr>
        <w:t>Total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£1800</w:t>
      </w:r>
      <w:r w:rsidR="00797B52">
        <w:rPr>
          <w:sz w:val="24"/>
        </w:rPr>
        <w:tab/>
        <w:t>to</w:t>
      </w:r>
      <w:r w:rsidR="00797B52">
        <w:rPr>
          <w:sz w:val="24"/>
        </w:rPr>
        <w:tab/>
        <w:t>£</w:t>
      </w:r>
      <w:r>
        <w:rPr>
          <w:sz w:val="24"/>
        </w:rPr>
        <w:t>6075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23 –</w:t>
      </w:r>
      <w:r w:rsidR="009659B8">
        <w:rPr>
          <w:sz w:val="24"/>
        </w:rPr>
        <w:t xml:space="preserve"> 52 </w:t>
      </w:r>
      <w:r>
        <w:rPr>
          <w:sz w:val="24"/>
        </w:rPr>
        <w:t>weeks</w:t>
      </w:r>
    </w:p>
    <w:p w14:paraId="643CE1A1" w14:textId="77777777" w:rsidR="003C7948" w:rsidRDefault="003C7948" w:rsidP="00866BFD">
      <w:pPr>
        <w:pStyle w:val="NoSpacing"/>
        <w:jc w:val="both"/>
        <w:rPr>
          <w:sz w:val="24"/>
        </w:rPr>
      </w:pPr>
    </w:p>
    <w:p w14:paraId="0EA8CAF6" w14:textId="77777777" w:rsidR="00CF10E9" w:rsidRDefault="00CF10E9" w:rsidP="00866BFD">
      <w:pPr>
        <w:pStyle w:val="NoSpacing"/>
        <w:jc w:val="both"/>
        <w:rPr>
          <w:sz w:val="24"/>
        </w:rPr>
      </w:pPr>
      <w:r>
        <w:rPr>
          <w:sz w:val="24"/>
        </w:rPr>
        <w:t>In addition to the fees shown VAT is payable.</w:t>
      </w:r>
    </w:p>
    <w:p w14:paraId="7C7F014D" w14:textId="77777777" w:rsidR="00866BFD" w:rsidRDefault="00866BFD" w:rsidP="00866BFD">
      <w:pPr>
        <w:pStyle w:val="NoSpacing"/>
        <w:jc w:val="both"/>
        <w:rPr>
          <w:sz w:val="24"/>
        </w:rPr>
      </w:pPr>
    </w:p>
    <w:p w14:paraId="2F61E12F" w14:textId="2B4D9617" w:rsidR="00797B52" w:rsidRDefault="00CF10E9" w:rsidP="00797B52">
      <w:pPr>
        <w:pStyle w:val="NoSpacing"/>
        <w:jc w:val="both"/>
        <w:rPr>
          <w:sz w:val="24"/>
        </w:rPr>
      </w:pPr>
      <w:r>
        <w:rPr>
          <w:sz w:val="24"/>
        </w:rPr>
        <w:t>The following di</w:t>
      </w:r>
      <w:r w:rsidR="00797B52">
        <w:rPr>
          <w:sz w:val="24"/>
        </w:rPr>
        <w:t>sbursements</w:t>
      </w:r>
      <w:r>
        <w:rPr>
          <w:sz w:val="24"/>
        </w:rPr>
        <w:t xml:space="preserve"> are also payable</w:t>
      </w:r>
      <w:r w:rsidR="00797B52">
        <w:rPr>
          <w:sz w:val="24"/>
        </w:rPr>
        <w:t>:-</w:t>
      </w:r>
    </w:p>
    <w:p w14:paraId="5A83B570" w14:textId="7D2C9AB8" w:rsidR="002335B2" w:rsidRDefault="002335B2" w:rsidP="00797B52">
      <w:pPr>
        <w:pStyle w:val="NoSpacing"/>
        <w:jc w:val="both"/>
        <w:rPr>
          <w:sz w:val="24"/>
        </w:rPr>
      </w:pPr>
      <w:r>
        <w:rPr>
          <w:sz w:val="24"/>
        </w:rPr>
        <w:t>Oath fees (if applicable)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£    7.00</w:t>
      </w:r>
    </w:p>
    <w:p w14:paraId="36F410D3" w14:textId="444106CE" w:rsidR="00797B52" w:rsidRDefault="00797B52" w:rsidP="00797B52">
      <w:pPr>
        <w:pStyle w:val="NoSpacing"/>
        <w:jc w:val="both"/>
        <w:rPr>
          <w:sz w:val="24"/>
        </w:rPr>
      </w:pPr>
      <w:r>
        <w:rPr>
          <w:sz w:val="24"/>
        </w:rPr>
        <w:t xml:space="preserve">Probate fees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£</w:t>
      </w:r>
      <w:r w:rsidR="002335B2">
        <w:rPr>
          <w:sz w:val="24"/>
        </w:rPr>
        <w:t>273.00</w:t>
      </w:r>
    </w:p>
    <w:p w14:paraId="4C364126" w14:textId="11314C6C" w:rsidR="00797B52" w:rsidRDefault="00797B52" w:rsidP="00797B52">
      <w:pPr>
        <w:pStyle w:val="NoSpacing"/>
        <w:jc w:val="both"/>
        <w:rPr>
          <w:sz w:val="24"/>
        </w:rPr>
      </w:pPr>
      <w:r>
        <w:rPr>
          <w:sz w:val="24"/>
        </w:rPr>
        <w:t>Office copy Probate (per copy)</w:t>
      </w:r>
      <w:r>
        <w:rPr>
          <w:sz w:val="24"/>
        </w:rPr>
        <w:tab/>
      </w:r>
      <w:r>
        <w:rPr>
          <w:sz w:val="24"/>
        </w:rPr>
        <w:tab/>
        <w:t xml:space="preserve">£   </w:t>
      </w:r>
      <w:r w:rsidR="002335B2">
        <w:rPr>
          <w:sz w:val="24"/>
        </w:rPr>
        <w:t xml:space="preserve"> 1.50</w:t>
      </w:r>
    </w:p>
    <w:p w14:paraId="586E281E" w14:textId="77777777" w:rsidR="00797B52" w:rsidRDefault="00797B52" w:rsidP="00797B52">
      <w:pPr>
        <w:pStyle w:val="NoSpacing"/>
        <w:jc w:val="both"/>
        <w:rPr>
          <w:sz w:val="24"/>
        </w:rPr>
      </w:pPr>
      <w:r>
        <w:rPr>
          <w:sz w:val="24"/>
        </w:rPr>
        <w:t xml:space="preserve">Office copy entries (if applicable) </w:t>
      </w:r>
    </w:p>
    <w:p w14:paraId="1505F485" w14:textId="77777777" w:rsidR="00797B52" w:rsidRDefault="00797B52" w:rsidP="00797B52">
      <w:pPr>
        <w:pStyle w:val="NoSpacing"/>
        <w:jc w:val="both"/>
        <w:rPr>
          <w:sz w:val="24"/>
        </w:rPr>
      </w:pPr>
      <w:r>
        <w:rPr>
          <w:sz w:val="24"/>
        </w:rPr>
        <w:t xml:space="preserve">   (per property)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£    6.00</w:t>
      </w:r>
    </w:p>
    <w:p w14:paraId="20826231" w14:textId="77777777" w:rsidR="00D82272" w:rsidRDefault="00D82272" w:rsidP="00797B52">
      <w:pPr>
        <w:pStyle w:val="NoSpacing"/>
        <w:jc w:val="both"/>
        <w:rPr>
          <w:sz w:val="24"/>
        </w:rPr>
      </w:pPr>
      <w:r>
        <w:rPr>
          <w:sz w:val="24"/>
        </w:rPr>
        <w:t xml:space="preserve">Advertising costs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£250 - £500</w:t>
      </w:r>
    </w:p>
    <w:p w14:paraId="2B8AED6A" w14:textId="77777777" w:rsidR="00CF10E9" w:rsidRDefault="00CF10E9" w:rsidP="00CF10E9">
      <w:pPr>
        <w:pStyle w:val="NoSpacing"/>
        <w:jc w:val="both"/>
        <w:rPr>
          <w:sz w:val="24"/>
        </w:rPr>
      </w:pPr>
    </w:p>
    <w:p w14:paraId="0BC2CF48" w14:textId="33388F63" w:rsidR="00CF10E9" w:rsidRDefault="00CF10E9" w:rsidP="00CF10E9">
      <w:pPr>
        <w:pStyle w:val="NoSpacing"/>
        <w:jc w:val="both"/>
        <w:rPr>
          <w:sz w:val="24"/>
        </w:rPr>
      </w:pPr>
      <w:r>
        <w:rPr>
          <w:sz w:val="24"/>
        </w:rPr>
        <w:t>Inheritance tax is payable at standard rate of 40% (36% in some cases where there are significant bequests to charity) on all sums above Nil Rate Band (currently £325,000) and where applicable Residential Nil Rate Band (currently £125,000).  Full details of charging rates and exemptions/allowance</w:t>
      </w:r>
      <w:r w:rsidR="00625D0A">
        <w:rPr>
          <w:sz w:val="24"/>
        </w:rPr>
        <w:t xml:space="preserve">s can be found at HMRC website – </w:t>
      </w:r>
      <w:hyperlink r:id="rId10" w:history="1">
        <w:r w:rsidR="00625D0A" w:rsidRPr="00427948">
          <w:rPr>
            <w:rStyle w:val="Hyperlink"/>
            <w:sz w:val="24"/>
          </w:rPr>
          <w:t>www.gov.uk/inheritance-tax</w:t>
        </w:r>
      </w:hyperlink>
      <w:r w:rsidR="00625D0A">
        <w:rPr>
          <w:sz w:val="24"/>
        </w:rPr>
        <w:t xml:space="preserve">. </w:t>
      </w:r>
    </w:p>
    <w:p w14:paraId="4B96B37B" w14:textId="77777777" w:rsidR="00CF10E9" w:rsidRDefault="00CF10E9" w:rsidP="00CF10E9">
      <w:pPr>
        <w:pStyle w:val="NoSpacing"/>
        <w:jc w:val="both"/>
        <w:rPr>
          <w:sz w:val="24"/>
        </w:rPr>
      </w:pPr>
    </w:p>
    <w:p w14:paraId="6F70439B" w14:textId="77777777" w:rsidR="00CF10E9" w:rsidRDefault="00CF10E9" w:rsidP="00CF10E9">
      <w:pPr>
        <w:pStyle w:val="NoSpacing"/>
        <w:jc w:val="both"/>
        <w:rPr>
          <w:sz w:val="24"/>
        </w:rPr>
      </w:pPr>
      <w:r>
        <w:rPr>
          <w:sz w:val="24"/>
        </w:rPr>
        <w:t>PLEASE  NOTE that if the estate comprises of property(</w:t>
      </w:r>
      <w:proofErr w:type="spellStart"/>
      <w:r>
        <w:rPr>
          <w:sz w:val="24"/>
        </w:rPr>
        <w:t>ies</w:t>
      </w:r>
      <w:proofErr w:type="spellEnd"/>
      <w:r>
        <w:rPr>
          <w:sz w:val="24"/>
        </w:rPr>
        <w:t>) which are to be sold fees in respect of the sale transaction(s) will be charged in accordance with our fees for sale transactions (see conveyancing fees).</w:t>
      </w:r>
    </w:p>
    <w:p w14:paraId="40DE8DEA" w14:textId="77777777" w:rsidR="00CF10E9" w:rsidRPr="00855A83" w:rsidRDefault="00CF10E9" w:rsidP="00A60305">
      <w:pPr>
        <w:pStyle w:val="NoSpacing"/>
        <w:jc w:val="both"/>
        <w:rPr>
          <w:sz w:val="24"/>
        </w:rPr>
      </w:pPr>
    </w:p>
    <w:sectPr w:rsidR="00CF10E9" w:rsidRPr="00855A83" w:rsidSect="00CF10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2B23" w14:textId="77777777" w:rsidR="003C7948" w:rsidRDefault="003C7948" w:rsidP="003C7948">
      <w:pPr>
        <w:spacing w:after="0" w:line="240" w:lineRule="auto"/>
      </w:pPr>
      <w:r>
        <w:separator/>
      </w:r>
    </w:p>
  </w:endnote>
  <w:endnote w:type="continuationSeparator" w:id="0">
    <w:p w14:paraId="7FBDDE25" w14:textId="77777777" w:rsidR="003C7948" w:rsidRDefault="003C7948" w:rsidP="003C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C8D0" w14:textId="77777777" w:rsidR="003C7948" w:rsidRDefault="003C7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CA4F" w14:textId="77777777" w:rsidR="003C7948" w:rsidRDefault="003C79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03F3" w14:textId="77777777" w:rsidR="003C7948" w:rsidRDefault="003C7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268C" w14:textId="77777777" w:rsidR="003C7948" w:rsidRDefault="003C7948" w:rsidP="003C7948">
      <w:pPr>
        <w:spacing w:after="0" w:line="240" w:lineRule="auto"/>
      </w:pPr>
      <w:r>
        <w:separator/>
      </w:r>
    </w:p>
  </w:footnote>
  <w:footnote w:type="continuationSeparator" w:id="0">
    <w:p w14:paraId="5F24CB51" w14:textId="77777777" w:rsidR="003C7948" w:rsidRDefault="003C7948" w:rsidP="003C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8C8D" w14:textId="77777777" w:rsidR="003C7948" w:rsidRDefault="003C7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0096" w14:textId="77777777" w:rsidR="003C7948" w:rsidRDefault="003C79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4F5A" w14:textId="77777777" w:rsidR="003C7948" w:rsidRDefault="003C7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C0D97"/>
    <w:multiLevelType w:val="hybridMultilevel"/>
    <w:tmpl w:val="827C5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62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83"/>
    <w:rsid w:val="000625BF"/>
    <w:rsid w:val="000A3506"/>
    <w:rsid w:val="000E1E3C"/>
    <w:rsid w:val="002335B2"/>
    <w:rsid w:val="002750C0"/>
    <w:rsid w:val="003C7948"/>
    <w:rsid w:val="00613E5A"/>
    <w:rsid w:val="00625D0A"/>
    <w:rsid w:val="00797B52"/>
    <w:rsid w:val="008349EB"/>
    <w:rsid w:val="00855A83"/>
    <w:rsid w:val="00866BFD"/>
    <w:rsid w:val="008F67E8"/>
    <w:rsid w:val="009659B8"/>
    <w:rsid w:val="00A60305"/>
    <w:rsid w:val="00AC3C98"/>
    <w:rsid w:val="00CF10E9"/>
    <w:rsid w:val="00D82272"/>
    <w:rsid w:val="00E6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F099F8"/>
  <w15:chartTrackingRefBased/>
  <w15:docId w15:val="{95A091E9-9E62-468F-B1D7-9BD74EA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A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948"/>
  </w:style>
  <w:style w:type="paragraph" w:styleId="Footer">
    <w:name w:val="footer"/>
    <w:basedOn w:val="Normal"/>
    <w:link w:val="FooterChar"/>
    <w:uiPriority w:val="99"/>
    <w:unhideWhenUsed/>
    <w:rsid w:val="003C7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948"/>
  </w:style>
  <w:style w:type="paragraph" w:styleId="BalloonText">
    <w:name w:val="Balloon Text"/>
    <w:basedOn w:val="Normal"/>
    <w:link w:val="BalloonTextChar"/>
    <w:uiPriority w:val="99"/>
    <w:semiHidden/>
    <w:unhideWhenUsed/>
    <w:rsid w:val="003C7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5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gov.uk/inheritance-ta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38FAB2EA54F40BFC8838BAB6F8AF9" ma:contentTypeVersion="14" ma:contentTypeDescription="Create a new document." ma:contentTypeScope="" ma:versionID="06d71246c5c547cd5c5fb7980a873820">
  <xsd:schema xmlns:xsd="http://www.w3.org/2001/XMLSchema" xmlns:xs="http://www.w3.org/2001/XMLSchema" xmlns:p="http://schemas.microsoft.com/office/2006/metadata/properties" xmlns:ns2="8d2c97cf-30f3-4250-8aad-af5028d786bd" xmlns:ns3="eb53bde9-4f35-4808-9697-234be7c30939" targetNamespace="http://schemas.microsoft.com/office/2006/metadata/properties" ma:root="true" ma:fieldsID="64f944f88ee35939ea7edf08f79cda98" ns2:_="" ns3:_="">
    <xsd:import namespace="8d2c97cf-30f3-4250-8aad-af5028d786bd"/>
    <xsd:import namespace="eb53bde9-4f35-4808-9697-234be7c30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97cf-30f3-4250-8aad-af5028d78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0e1077c-1928-477b-b0c0-1461b78616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bde9-4f35-4808-9697-234be7c309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3cf5d7-50f1-40d7-99f5-ac09579c2dc2}" ma:internalName="TaxCatchAll" ma:showField="CatchAllData" ma:web="eb53bde9-4f35-4808-9697-234be7c30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c97cf-30f3-4250-8aad-af5028d786bd">
      <Terms xmlns="http://schemas.microsoft.com/office/infopath/2007/PartnerControls"/>
    </lcf76f155ced4ddcb4097134ff3c332f>
    <TaxCatchAll xmlns="eb53bde9-4f35-4808-9697-234be7c30939" xsi:nil="true"/>
  </documentManagement>
</p:properties>
</file>

<file path=customXml/itemProps1.xml><?xml version="1.0" encoding="utf-8"?>
<ds:datastoreItem xmlns:ds="http://schemas.openxmlformats.org/officeDocument/2006/customXml" ds:itemID="{78777618-2C24-448C-9C04-497567AE6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3646E-2533-424D-B013-DD0316663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c97cf-30f3-4250-8aad-af5028d786bd"/>
    <ds:schemaRef ds:uri="eb53bde9-4f35-4808-9697-234be7c30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C2AE7-7918-41C2-8591-9F9572BFBBD0}">
  <ds:schemaRefs>
    <ds:schemaRef ds:uri="http://schemas.microsoft.com/office/2006/metadata/properties"/>
    <ds:schemaRef ds:uri="http://schemas.microsoft.com/office/infopath/2007/PartnerControls"/>
    <ds:schemaRef ds:uri="8d2c97cf-30f3-4250-8aad-af5028d786bd"/>
    <ds:schemaRef ds:uri="eb53bde9-4f35-4808-9697-234be7c309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Fuller</dc:creator>
  <cp:keywords/>
  <dc:description/>
  <cp:lastModifiedBy>Joshua Campbell-Taylor</cp:lastModifiedBy>
  <cp:revision>2</cp:revision>
  <cp:lastPrinted>2022-02-22T12:24:00Z</cp:lastPrinted>
  <dcterms:created xsi:type="dcterms:W3CDTF">2022-08-24T14:19:00Z</dcterms:created>
  <dcterms:modified xsi:type="dcterms:W3CDTF">2022-08-24T14:19:00Z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0x01010068B38FAB2EA54F40BFC8838BAB6F8AF9</vt:lpwstr>
  </property>
  <property fmtid="{D5CDD505-2E9C-101B-9397-08002B2CF9AE}" pid="3" name="Order">
    <vt:r8>5323800</vt:r8>
  </property>
</Properties>
</file>